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Crowdfunding dłużny. Model inwestowania na miarę 2022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Crowdfunding dłużny to jeden z nowoczesnych modeli finansowania przedsięwzięć biznesowych, zyskujący w Polsce coraz większą popularność. Pozwala on na pozyskanie funduszy na rozwój firmy lub na wdrożenie nowego projektu, a zarazem okazuje się interesującym sposobem inwestowania.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Crowdfunding dłużny, określany też jako finansowanie społecznościowe jest innowacyjnym instrumentem, umożliwiającym dywersyfikację kapitału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FutureCapital.pl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2018 roku skupił się na crowdfundingu dłużnym. Na czym polega tego typu inwestowanie w firmy? Osoba poszukująca sposobu na pomnożenie swojego kapitału dołącza do grona inwestorskiego, a tym samym otrzymuje dostęp do wszystkich aktywnych inwestycji, opublikowanych na portalu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pożyczkowe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Inwestor ma możliwość samodzielnej analizy i w efekcie wyboru projektu, który go zainteresuje. Ocenę ryzyka inwestycyjnego ułatwia bezpośredni dostęp do dokumentów finansowych spółki ubiegającej się o pożyczkę. Inwestor też każdorazowo decyduje, jaką kwotę i na jakich warunkach zainwestuje w dany projekt. Warto pamiętać, że można ją dowolnie modyfikować podczas trwania aukcji. Po zakończeniu aukcji grupa zwycięskich inwestorów otrzymuje potwierdzoną notarialnie umowę cywilnoprawną z przedsiębiorcą upoważnionym do reprezentacji danej spółki. Na jej podstawie następuje przelanie środków finansowych na wskazany przez pożyczkobiorcę numer rachunku bankowego. Następnie, zgodnie z harmonogramem określonym w umowie na rachunek inwestora pożyczkobiorca cyklicznie przelewa środki określone wynikające ze zobowiązania określonego umową.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dłużny - jakie korzyści inwestycyjne daje finansowanie społecznościowe?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crowdfundingu to przede wszystkim możliwość pomnożenia własnych środków w środowisku pozabankowym. Inwestowanie w crowdfunding dłużny jest alternatywnym narzędziem umożliwiającym dywersyfikację zasobów inwestycyjnych. Jest to także sposobność inwestycji w polskie nowatorskie projekty biznesowe. Crowdfunding dłużny jest rozwiązaniem z obszaru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fintech</w:t>
      </w:r>
      <w:r>
        <w:rPr>
          <w:rFonts w:ascii="calibri" w:hAnsi="calibri" w:eastAsia="calibri" w:cs="calibri"/>
          <w:sz w:val="24"/>
          <w:szCs w:val="24"/>
        </w:rPr>
        <w:t xml:space="preserve"> (financial technology), które pozwoliło oddać w ręce inwestorów narzędzie dające nieomalże nieograniczone możliwości swobodnego dysponowania kapitałem. FutureCapital.pl to przestrzeń inwestowania alternatywnego, gdzie stopa zwrotu niejednokrotnie przekracza 20%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capital.pl/" TargetMode="External"/><Relationship Id="rId8" Type="http://schemas.openxmlformats.org/officeDocument/2006/relationships/hyperlink" Target="https://www.futurecapital.pl/pozyczki-pozaba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2025-12-16T06:35:10+01:00</dcterms:created>
  <dcterms:modified xsi:type="dcterms:W3CDTF">2025-12-16T06:35:10+01:00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